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7A3A91">
        <w:rPr>
          <w:rFonts w:ascii="Times New Roman" w:hAnsi="Times New Roman"/>
          <w:b/>
          <w:sz w:val="20"/>
          <w:szCs w:val="20"/>
          <w:lang w:val="uk-UA"/>
        </w:rPr>
        <w:t>0</w:t>
      </w:r>
      <w:r w:rsidR="00737FE4">
        <w:rPr>
          <w:rFonts w:ascii="Times New Roman" w:hAnsi="Times New Roman"/>
          <w:b/>
          <w:sz w:val="20"/>
          <w:szCs w:val="20"/>
          <w:lang w:val="uk-UA"/>
        </w:rPr>
        <w:t>9</w:t>
      </w:r>
      <w:bookmarkStart w:id="0" w:name="_GoBack"/>
      <w:bookmarkEnd w:id="0"/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5234C4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234C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5234C4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5234C4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234C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5234C4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23.Щодо громадських та наглядових рад, до яких входить Касьянова Д.С.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24.Щодо репресованих громадян в період 30-40-х та початку 50-х років.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25.Щоо бюджетних коштів по ліквідації надзвичайних ситуацій.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26.Про здійснення заходів на місцевому рівні у сфері забезпечення прав і свобод внутрішньо переміщених осіб.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27.Про кількість проживаючих внутрішньо переміщених осіб з Донецької області.</w:t>
            </w:r>
          </w:p>
          <w:p w:rsidR="00A464E2" w:rsidRDefault="00656DB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28.Про </w:t>
            </w:r>
            <w:r w:rsidR="002243C9">
              <w:rPr>
                <w:rFonts w:ascii="Times New Roman" w:hAnsi="Times New Roman"/>
                <w:sz w:val="20"/>
                <w:szCs w:val="20"/>
                <w:lang w:val="uk-UA"/>
              </w:rPr>
              <w:t>програми з підтримки внутрішньо переміщених осіб.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30.Щодо реалізації Роменської Стратегії.</w:t>
            </w:r>
          </w:p>
          <w:p w:rsidR="005234C4" w:rsidRPr="00D26520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31.Щодо осіб, які виконують обов’язки радника або помічника.</w:t>
            </w:r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FE4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63B9-744A-4B01-AAB4-49BDE0CE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5</cp:revision>
  <cp:lastPrinted>2023-11-01T08:56:00Z</cp:lastPrinted>
  <dcterms:created xsi:type="dcterms:W3CDTF">2024-09-02T11:11:00Z</dcterms:created>
  <dcterms:modified xsi:type="dcterms:W3CDTF">2024-09-02T13:38:00Z</dcterms:modified>
</cp:coreProperties>
</file>